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论文查重导师审核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24"/>
          <w:lang w:val="en-US" w:eastAsia="zh-CN"/>
        </w:rPr>
        <w:t>菜单路径：</w:t>
      </w:r>
      <w:r>
        <w:rPr>
          <w:rFonts w:hint="eastAsia"/>
          <w:sz w:val="24"/>
          <w:szCs w:val="24"/>
          <w:lang w:val="en-US" w:eastAsia="zh-CN"/>
        </w:rPr>
        <w:t>导师-学生培养指导-论文查重导师审核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操作说明：</w:t>
      </w:r>
      <w:r>
        <w:rPr>
          <w:rFonts w:hint="eastAsia"/>
          <w:sz w:val="24"/>
          <w:szCs w:val="24"/>
          <w:lang w:val="en-US" w:eastAsia="zh-CN"/>
        </w:rPr>
        <w:t>学生提交之后导师端即可显示申请信息，“查看”按钮可查看学生填写的论文基本信息；点击“编辑”按钮可对学生查重论文进行相关的评语填写；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说明：导师需对论文数据的真实性、统计学处理方法的准确性、论文写作的规范性等进行评价。还需明确指出论文中存在的问题和不足之处</w:t>
      </w:r>
      <w:r>
        <w:rPr>
          <w:rFonts w:hint="eastAsia"/>
          <w:sz w:val="24"/>
          <w:szCs w:val="24"/>
          <w:lang w:val="en-US" w:eastAsia="zh-CN"/>
        </w:rPr>
        <w:t>；填写完后选择审核结论并点击右上方的“保存”按钮保存信息即可。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9230" cy="2085340"/>
            <wp:effectExtent l="0" t="0" r="381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NGI5NjRiZmJiNTU5NWJhOGEzYjNlZTE0NTViMDUifQ=="/>
  </w:docVars>
  <w:rsids>
    <w:rsidRoot w:val="00000000"/>
    <w:rsid w:val="02157C21"/>
    <w:rsid w:val="3D85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2</TotalTime>
  <ScaleCrop>false</ScaleCrop>
  <LinksUpToDate>false</LinksUpToDate>
  <CharactersWithSpaces>195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2023-03-02T06:50:00Z</dcterms:created>
  <dc:creator>etong</dc:creator>
  <cp:lastModifiedBy>etong</cp:lastModifiedBy>
  <dcterms:modified xsi:type="dcterms:W3CDTF">2023-03-02T08:49:22Z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763E8E3491FC4346B1A8E061771A0BCD</vt:lpwstr>
  </property>
</Properties>
</file>